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highlight w:val="yellow"/>
        </w:rPr>
      </w:pPr>
      <w:r w:rsidDel="00000000" w:rsidR="00000000" w:rsidRPr="00000000">
        <w:rPr>
          <w:highlight w:val="yellow"/>
          <w:rtl w:val="0"/>
        </w:rPr>
        <w:t xml:space="preserve">[Your Name]</w:t>
        <w:br w:type="textWrapping"/>
        <w:t xml:space="preserve">[Your Address]</w:t>
        <w:br w:type="textWrapping"/>
        <w:t xml:space="preserve">City, State, ZIP Code</w:t>
        <w:br w:type="textWrapping"/>
        <w:t xml:space="preserve">Date of Birth: [Your Date of Birth]</w:t>
        <w:br w:type="textWrapping"/>
        <w:t xml:space="preserve">Social Security Number: [Your Social Security Number]</w:t>
        <w:br w:type="textWrapping"/>
      </w:r>
    </w:p>
    <w:p w:rsidR="00000000" w:rsidDel="00000000" w:rsidP="00000000" w:rsidRDefault="00000000" w:rsidRPr="00000000" w14:paraId="00000002">
      <w:pPr>
        <w:rPr>
          <w:highlight w:val="yellow"/>
        </w:rPr>
      </w:pPr>
      <w:r w:rsidDel="00000000" w:rsidR="00000000" w:rsidRPr="00000000">
        <w:rPr>
          <w:highlight w:val="yellow"/>
          <w:rtl w:val="0"/>
        </w:rPr>
        <w:t xml:space="preserve">[Date]</w:t>
      </w:r>
    </w:p>
    <w:p w:rsidR="00000000" w:rsidDel="00000000" w:rsidP="00000000" w:rsidRDefault="00000000" w:rsidRPr="00000000" w14:paraId="00000003">
      <w:pPr>
        <w:rPr/>
      </w:pPr>
      <w:r w:rsidDel="00000000" w:rsidR="00000000" w:rsidRPr="00000000">
        <w:rPr>
          <w:highlight w:val="yellow"/>
          <w:rtl w:val="0"/>
        </w:rPr>
        <w:t xml:space="preserve">[Credit Bureau Name]</w:t>
        <w:br w:type="textWrapping"/>
        <w:t xml:space="preserve">[Credit Bureau Address]</w:t>
        <w:br w:type="textWrapping"/>
        <w:t xml:space="preserve">City, State, ZIP Code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To Whom It May Concern:</w:t>
      </w:r>
    </w:p>
    <w:p w:rsidR="00000000" w:rsidDel="00000000" w:rsidP="00000000" w:rsidRDefault="00000000" w:rsidRPr="00000000" w14:paraId="00000005">
      <w:pPr>
        <w:rPr/>
      </w:pPr>
      <w:r w:rsidDel="00000000" w:rsidR="00000000" w:rsidRPr="00000000">
        <w:rPr>
          <w:rtl w:val="0"/>
        </w:rPr>
        <w:t xml:space="preserve">This is a </w:t>
      </w:r>
      <w:r w:rsidDel="00000000" w:rsidR="00000000" w:rsidRPr="00000000">
        <w:rPr>
          <w:b w:val="1"/>
          <w:rtl w:val="0"/>
        </w:rPr>
        <w:t xml:space="preserve">final formal demand</w:t>
      </w:r>
      <w:r w:rsidDel="00000000" w:rsidR="00000000" w:rsidRPr="00000000">
        <w:rPr>
          <w:rtl w:val="0"/>
        </w:rPr>
        <w:t xml:space="preserve"> requiring the immediate removal of unauthorized inquiries on my credit report, which violate the Fair Credit Reporting Act (FCRA), the Truth in Lending Act (TILA), and the Gramm-Leach-Bliley Act (GLBA). These inquiries, made without my authorization, do not meet legally permissible purposes, and they are negatively impacting my credit profile.</w:t>
      </w:r>
    </w:p>
    <w:p w:rsidR="00000000" w:rsidDel="00000000" w:rsidP="00000000" w:rsidRDefault="00000000" w:rsidRPr="00000000" w14:paraId="00000006">
      <w:pPr>
        <w:rPr/>
      </w:pPr>
      <w:r w:rsidDel="00000000" w:rsidR="00000000" w:rsidRPr="00000000">
        <w:rPr>
          <w:b w:val="1"/>
          <w:rtl w:val="0"/>
        </w:rPr>
        <w:t xml:space="preserve">Unauthorized Inquiries in Dispute</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following unauthorized inquiries must be removed immediately:</w:t>
      </w:r>
    </w:p>
    <w:p w:rsidR="00000000" w:rsidDel="00000000" w:rsidP="00000000" w:rsidRDefault="00000000" w:rsidRPr="00000000" w14:paraId="00000008">
      <w:pPr>
        <w:numPr>
          <w:ilvl w:val="0"/>
          <w:numId w:val="1"/>
        </w:numPr>
        <w:ind w:left="720" w:hanging="360"/>
        <w:rPr>
          <w:highlight w:val="yellow"/>
        </w:rPr>
      </w:pPr>
      <w:r w:rsidDel="00000000" w:rsidR="00000000" w:rsidRPr="00000000">
        <w:rPr>
          <w:b w:val="1"/>
          <w:highlight w:val="yellow"/>
          <w:rtl w:val="0"/>
        </w:rPr>
        <w:t xml:space="preserve">Creditor:</w:t>
      </w:r>
      <w:r w:rsidDel="00000000" w:rsidR="00000000" w:rsidRPr="00000000">
        <w:rPr>
          <w:highlight w:val="yellow"/>
          <w:rtl w:val="0"/>
        </w:rPr>
        <w:t xml:space="preserve"> [Creditor Name 1]</w:t>
        <w:br w:type="textWrapping"/>
      </w:r>
      <w:r w:rsidDel="00000000" w:rsidR="00000000" w:rsidRPr="00000000">
        <w:rPr>
          <w:b w:val="1"/>
          <w:highlight w:val="yellow"/>
          <w:rtl w:val="0"/>
        </w:rPr>
        <w:t xml:space="preserve">Date of Inquiry:</w:t>
      </w:r>
      <w:r w:rsidDel="00000000" w:rsidR="00000000" w:rsidRPr="00000000">
        <w:rPr>
          <w:highlight w:val="yellow"/>
          <w:rtl w:val="0"/>
        </w:rPr>
        <w:t xml:space="preserve"> [Inquiry Date 1]</w:t>
      </w:r>
    </w:p>
    <w:p w:rsidR="00000000" w:rsidDel="00000000" w:rsidP="00000000" w:rsidRDefault="00000000" w:rsidRPr="00000000" w14:paraId="00000009">
      <w:pPr>
        <w:numPr>
          <w:ilvl w:val="0"/>
          <w:numId w:val="1"/>
        </w:numPr>
        <w:ind w:left="720" w:hanging="360"/>
        <w:rPr>
          <w:highlight w:val="yellow"/>
        </w:rPr>
      </w:pPr>
      <w:r w:rsidDel="00000000" w:rsidR="00000000" w:rsidRPr="00000000">
        <w:rPr>
          <w:b w:val="1"/>
          <w:highlight w:val="yellow"/>
          <w:rtl w:val="0"/>
        </w:rPr>
        <w:t xml:space="preserve">Creditor:</w:t>
      </w:r>
      <w:r w:rsidDel="00000000" w:rsidR="00000000" w:rsidRPr="00000000">
        <w:rPr>
          <w:highlight w:val="yellow"/>
          <w:rtl w:val="0"/>
        </w:rPr>
        <w:t xml:space="preserve"> [Creditor Name 2]</w:t>
        <w:br w:type="textWrapping"/>
      </w:r>
      <w:r w:rsidDel="00000000" w:rsidR="00000000" w:rsidRPr="00000000">
        <w:rPr>
          <w:b w:val="1"/>
          <w:highlight w:val="yellow"/>
          <w:rtl w:val="0"/>
        </w:rPr>
        <w:t xml:space="preserve">Date of Inquiry:</w:t>
      </w:r>
      <w:r w:rsidDel="00000000" w:rsidR="00000000" w:rsidRPr="00000000">
        <w:rPr>
          <w:highlight w:val="yellow"/>
          <w:rtl w:val="0"/>
        </w:rPr>
        <w:t xml:space="preserve"> [Inquiry Date 2]</w:t>
        <w:br w:type="textWrapping"/>
      </w:r>
      <w:r w:rsidDel="00000000" w:rsidR="00000000" w:rsidRPr="00000000">
        <w:rPr>
          <w:i w:val="1"/>
          <w:highlight w:val="yellow"/>
          <w:rtl w:val="0"/>
        </w:rPr>
        <w:t xml:space="preserve">(Repeat as needed for each disputed inquiry)</w:t>
      </w: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Violations of FCRA, TILA, and GLBA and Applicable Case Law</w:t>
      </w:r>
      <w:r w:rsidDel="00000000" w:rsidR="00000000" w:rsidRPr="00000000">
        <w:rPr>
          <w:rtl w:val="0"/>
        </w:rPr>
      </w:r>
    </w:p>
    <w:p w:rsidR="00000000" w:rsidDel="00000000" w:rsidP="00000000" w:rsidRDefault="00000000" w:rsidRPr="00000000" w14:paraId="0000000B">
      <w:pPr>
        <w:numPr>
          <w:ilvl w:val="0"/>
          <w:numId w:val="2"/>
        </w:numPr>
        <w:ind w:left="720" w:hanging="360"/>
        <w:rPr/>
      </w:pPr>
      <w:r w:rsidDel="00000000" w:rsidR="00000000" w:rsidRPr="00000000">
        <w:rPr>
          <w:b w:val="1"/>
          <w:rtl w:val="0"/>
        </w:rPr>
        <w:t xml:space="preserve">15 U.S.C. § 1681i - Obligation to Investigate and Correct Inaccurate Information (Section 611)</w:t>
      </w:r>
      <w:r w:rsidDel="00000000" w:rsidR="00000000" w:rsidRPr="00000000">
        <w:rPr>
          <w:rtl w:val="0"/>
        </w:rPr>
        <w:br w:type="textWrapping"/>
        <w:t xml:space="preserve">Under the FCRA, specifically </w:t>
      </w:r>
      <w:r w:rsidDel="00000000" w:rsidR="00000000" w:rsidRPr="00000000">
        <w:rPr>
          <w:b w:val="1"/>
          <w:rtl w:val="0"/>
        </w:rPr>
        <w:t xml:space="preserve">Section 611 (15 U.S.C. § 1681i)</w:t>
      </w:r>
      <w:r w:rsidDel="00000000" w:rsidR="00000000" w:rsidRPr="00000000">
        <w:rPr>
          <w:rtl w:val="0"/>
        </w:rPr>
        <w:t xml:space="preserve">, you are legally required to investigate and correct any inaccurate or incomplete information in my credit report. Failing to correct inaccurate information after an investigation is a direct violation of the FCRA.</w:t>
      </w:r>
    </w:p>
    <w:p w:rsidR="00000000" w:rsidDel="00000000" w:rsidP="00000000" w:rsidRDefault="00000000" w:rsidRPr="00000000" w14:paraId="0000000C">
      <w:pPr>
        <w:numPr>
          <w:ilvl w:val="0"/>
          <w:numId w:val="2"/>
        </w:numPr>
        <w:ind w:left="720" w:hanging="360"/>
        <w:rPr/>
      </w:pPr>
      <w:r w:rsidDel="00000000" w:rsidR="00000000" w:rsidRPr="00000000">
        <w:rPr>
          <w:b w:val="1"/>
          <w:rtl w:val="0"/>
        </w:rPr>
        <w:t xml:space="preserve">15 U.S.C. § 1681b - Permissible Purposes for Credit Inquiries (Section 604)</w:t>
      </w:r>
      <w:r w:rsidDel="00000000" w:rsidR="00000000" w:rsidRPr="00000000">
        <w:rPr>
          <w:rtl w:val="0"/>
        </w:rPr>
        <w:br w:type="textWrapping"/>
        <w:t xml:space="preserve">According to </w:t>
      </w:r>
      <w:r w:rsidDel="00000000" w:rsidR="00000000" w:rsidRPr="00000000">
        <w:rPr>
          <w:b w:val="1"/>
          <w:rtl w:val="0"/>
        </w:rPr>
        <w:t xml:space="preserve">Section 604 (15 U.S.C. § 1681b)</w:t>
      </w:r>
      <w:r w:rsidDel="00000000" w:rsidR="00000000" w:rsidRPr="00000000">
        <w:rPr>
          <w:rtl w:val="0"/>
        </w:rPr>
        <w:t xml:space="preserve">, credit inquiries may only be made for legally permissible purposes. The inquiries listed above were not authorized by me and do not serve any permissible purpose under this law. Furthermore, in </w:t>
      </w:r>
      <w:r w:rsidDel="00000000" w:rsidR="00000000" w:rsidRPr="00000000">
        <w:rPr>
          <w:b w:val="1"/>
          <w:rtl w:val="0"/>
        </w:rPr>
        <w:t xml:space="preserve">Pintos v. Pacific Creditors Association, 605 F.3d 665 (9th Cir. 2010)</w:t>
      </w:r>
      <w:r w:rsidDel="00000000" w:rsidR="00000000" w:rsidRPr="00000000">
        <w:rPr>
          <w:rtl w:val="0"/>
        </w:rPr>
        <w:t xml:space="preserve">, the court ruled that credit reporting agencies and data furnishers must ensure that inquiries are conducted solely for permissible purposes under the FCRA. The inquiries on my credit report in this case are therefore unjustified and must be removed immediately.</w:t>
      </w:r>
    </w:p>
    <w:p w:rsidR="00000000" w:rsidDel="00000000" w:rsidP="00000000" w:rsidRDefault="00000000" w:rsidRPr="00000000" w14:paraId="0000000D">
      <w:pPr>
        <w:numPr>
          <w:ilvl w:val="0"/>
          <w:numId w:val="2"/>
        </w:numPr>
        <w:ind w:left="720" w:hanging="360"/>
        <w:rPr/>
      </w:pPr>
      <w:r w:rsidDel="00000000" w:rsidR="00000000" w:rsidRPr="00000000">
        <w:rPr>
          <w:b w:val="1"/>
          <w:rtl w:val="0"/>
        </w:rPr>
        <w:t xml:space="preserve">Truth in Lending Act (TILA) - Truthfulness in the Credit Process</w:t>
      </w:r>
      <w:r w:rsidDel="00000000" w:rsidR="00000000" w:rsidRPr="00000000">
        <w:rPr>
          <w:rtl w:val="0"/>
        </w:rPr>
        <w:br w:type="textWrapping"/>
        <w:t xml:space="preserve">According to the Truth in Lending Act (TILA), any credit process must be accompanied by clear and accurate disclosure of terms and conditions. If these unauthorized inquiries resulted from a credit offer or credit application that was unsolicited by me and where terms were not properly disclosed, this constitutes a violation of TILA. The lack of transparency directly infringes upon my consumer rights and supports the demand for the removal of these inquiries.</w:t>
      </w:r>
    </w:p>
    <w:p w:rsidR="00000000" w:rsidDel="00000000" w:rsidP="00000000" w:rsidRDefault="00000000" w:rsidRPr="00000000" w14:paraId="0000000E">
      <w:pPr>
        <w:numPr>
          <w:ilvl w:val="0"/>
          <w:numId w:val="2"/>
        </w:numPr>
        <w:ind w:left="720" w:hanging="360"/>
        <w:rPr/>
      </w:pPr>
      <w:r w:rsidDel="00000000" w:rsidR="00000000" w:rsidRPr="00000000">
        <w:rPr>
          <w:b w:val="1"/>
          <w:rtl w:val="0"/>
        </w:rPr>
        <w:t xml:space="preserve">Gramm-Leach-Bliley Act (GLBA) - Protection of Consumer Financial Data Privacy</w:t>
      </w:r>
      <w:r w:rsidDel="00000000" w:rsidR="00000000" w:rsidRPr="00000000">
        <w:rPr>
          <w:rtl w:val="0"/>
        </w:rPr>
        <w:br w:type="textWrapping"/>
        <w:t xml:space="preserve">Under the Gramm-Leach-Bliley Act (GLBA), financial institutions are required to protect consumer financial data privacy and must obtain consumer consent before sharing that information. If these inquiries resulted from unauthorized sharing of my personal information, this would be a direct violation of the GLBA. This non-compliance necessitates the removal of these inquiries to uphold consumer data privacy.</w:t>
      </w:r>
    </w:p>
    <w:p w:rsidR="00000000" w:rsidDel="00000000" w:rsidP="00000000" w:rsidRDefault="00000000" w:rsidRPr="00000000" w14:paraId="0000000F">
      <w:pPr>
        <w:numPr>
          <w:ilvl w:val="0"/>
          <w:numId w:val="2"/>
        </w:numPr>
        <w:ind w:left="720" w:hanging="360"/>
        <w:rPr/>
      </w:pPr>
      <w:r w:rsidDel="00000000" w:rsidR="00000000" w:rsidRPr="00000000">
        <w:rPr>
          <w:b w:val="1"/>
          <w:rtl w:val="0"/>
        </w:rPr>
        <w:t xml:space="preserve">Obligations of Data Furnishers - 15 U.S.C. § 1681s-2 and 15 U.S.C. § 1681c-1</w:t>
      </w:r>
      <w:r w:rsidDel="00000000" w:rsidR="00000000" w:rsidRPr="00000000">
        <w:rPr>
          <w:rtl w:val="0"/>
        </w:rPr>
        <w:br w:type="textWrapping"/>
        <w:t xml:space="preserve">I also invoke </w:t>
      </w:r>
      <w:r w:rsidDel="00000000" w:rsidR="00000000" w:rsidRPr="00000000">
        <w:rPr>
          <w:b w:val="1"/>
          <w:rtl w:val="0"/>
        </w:rPr>
        <w:t xml:space="preserve">Section 623 (15 U.S.C. § 1681s-2)</w:t>
      </w:r>
      <w:r w:rsidDel="00000000" w:rsidR="00000000" w:rsidRPr="00000000">
        <w:rPr>
          <w:rtl w:val="0"/>
        </w:rPr>
        <w:t xml:space="preserve">, which obligates data furnishers to report accurate information to credit bureaus. By continuing to report these unauthorized inquiries, both your office and the data furnishers are in violation of this provision of the FCRA. Moreover, under </w:t>
      </w:r>
      <w:r w:rsidDel="00000000" w:rsidR="00000000" w:rsidRPr="00000000">
        <w:rPr>
          <w:b w:val="1"/>
          <w:rtl w:val="0"/>
        </w:rPr>
        <w:t xml:space="preserve">Section 605A (15 U.S.C. § 1681c-1)</w:t>
      </w:r>
      <w:r w:rsidDel="00000000" w:rsidR="00000000" w:rsidRPr="00000000">
        <w:rPr>
          <w:rtl w:val="0"/>
        </w:rPr>
        <w:t xml:space="preserve">, which provides protection against identity theft, you are responsible for ensuring the removal of unauthorized inquiries, especially if they may be related to potential fraud.</w:t>
      </w:r>
    </w:p>
    <w:p w:rsidR="00000000" w:rsidDel="00000000" w:rsidP="00000000" w:rsidRDefault="00000000" w:rsidRPr="00000000" w14:paraId="00000010">
      <w:pPr>
        <w:rPr/>
      </w:pPr>
      <w:r w:rsidDel="00000000" w:rsidR="00000000" w:rsidRPr="00000000">
        <w:rPr>
          <w:b w:val="1"/>
          <w:rtl w:val="0"/>
        </w:rPr>
        <w:t xml:space="preserve">Demand for Manual Verification and Immediate Removal</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The Consumer Financial Protection Bureau (CFPB) has noted that the EOSCAR system used for verification is insufficient for disputes that require a thorough examination of primary documentation. I request a manual verification of this dispute, reviewing any original application forms or related documents to ensure a complete investigation and to prevent insufficient automated responses.</w:t>
      </w:r>
    </w:p>
    <w:p w:rsidR="00000000" w:rsidDel="00000000" w:rsidP="00000000" w:rsidRDefault="00000000" w:rsidRPr="00000000" w14:paraId="00000012">
      <w:pPr>
        <w:rPr/>
      </w:pPr>
      <w:r w:rsidDel="00000000" w:rsidR="00000000" w:rsidRPr="00000000">
        <w:rPr>
          <w:b w:val="1"/>
          <w:rtl w:val="0"/>
        </w:rPr>
        <w:t xml:space="preserve">Notice of Civil Liability and Response Deadline</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Intentional or negligent non-compliance with FCRA obligations implies civil liability, as outlined in Sections 616 and 617:</w:t>
      </w:r>
    </w:p>
    <w:p w:rsidR="00000000" w:rsidDel="00000000" w:rsidP="00000000" w:rsidRDefault="00000000" w:rsidRPr="00000000" w14:paraId="00000014">
      <w:pPr>
        <w:numPr>
          <w:ilvl w:val="0"/>
          <w:numId w:val="3"/>
        </w:numPr>
        <w:ind w:left="720" w:hanging="360"/>
        <w:rPr/>
      </w:pPr>
      <w:r w:rsidDel="00000000" w:rsidR="00000000" w:rsidRPr="00000000">
        <w:rPr>
          <w:b w:val="1"/>
          <w:rtl w:val="0"/>
        </w:rPr>
        <w:t xml:space="preserve">Willful Non-Compliance (Section 616):</w:t>
      </w:r>
      <w:r w:rsidDel="00000000" w:rsidR="00000000" w:rsidRPr="00000000">
        <w:rPr>
          <w:rtl w:val="0"/>
        </w:rPr>
        <w:t xml:space="preserve"> Under the FCRA, I may seek up to $1,000 in punitive damages per violation, in addition to any actual damages suffered, including legal costs and attorney fees.</w:t>
      </w:r>
    </w:p>
    <w:p w:rsidR="00000000" w:rsidDel="00000000" w:rsidP="00000000" w:rsidRDefault="00000000" w:rsidRPr="00000000" w14:paraId="00000015">
      <w:pPr>
        <w:numPr>
          <w:ilvl w:val="0"/>
          <w:numId w:val="3"/>
        </w:numPr>
        <w:ind w:left="720" w:hanging="360"/>
        <w:rPr/>
      </w:pPr>
      <w:r w:rsidDel="00000000" w:rsidR="00000000" w:rsidRPr="00000000">
        <w:rPr>
          <w:b w:val="1"/>
          <w:rtl w:val="0"/>
        </w:rPr>
        <w:t xml:space="preserve">Negligent Non-Compliance (Section 617):</w:t>
      </w:r>
      <w:r w:rsidDel="00000000" w:rsidR="00000000" w:rsidRPr="00000000">
        <w:rPr>
          <w:rtl w:val="0"/>
        </w:rPr>
        <w:t xml:space="preserve"> The FCRA also permits compensation for actual damages, including any economic loss due to inaccuracy or lack of verification on my credit report.</w:t>
      </w:r>
    </w:p>
    <w:p w:rsidR="00000000" w:rsidDel="00000000" w:rsidP="00000000" w:rsidRDefault="00000000" w:rsidRPr="00000000" w14:paraId="00000016">
      <w:pPr>
        <w:rPr/>
      </w:pPr>
      <w:r w:rsidDel="00000000" w:rsidR="00000000" w:rsidRPr="00000000">
        <w:rPr>
          <w:rtl w:val="0"/>
        </w:rPr>
        <w:t xml:space="preserve">This is my </w:t>
      </w:r>
      <w:r w:rsidDel="00000000" w:rsidR="00000000" w:rsidRPr="00000000">
        <w:rPr>
          <w:b w:val="1"/>
          <w:rtl w:val="0"/>
        </w:rPr>
        <w:t xml:space="preserve">final notice</w:t>
      </w:r>
      <w:r w:rsidDel="00000000" w:rsidR="00000000" w:rsidRPr="00000000">
        <w:rPr>
          <w:rtl w:val="0"/>
        </w:rPr>
        <w:t xml:space="preserve">. If I do not receive written confirmation that the disputed inquiries have been removed within 15 days, I will proceed with formal complaints to the Consumer Financial Protection Bureau (CFPB), the Federal Trade Commission (FTC), and the Attorney General’s office in my state. I will also consider legal action to enforce my rights under the FCRA, TILA, and GLBA and to seek appropriate compensation for damages.</w:t>
      </w:r>
    </w:p>
    <w:p w:rsidR="00000000" w:rsidDel="00000000" w:rsidP="00000000" w:rsidRDefault="00000000" w:rsidRPr="00000000" w14:paraId="00000017">
      <w:pPr>
        <w:rPr/>
      </w:pPr>
      <w:r w:rsidDel="00000000" w:rsidR="00000000" w:rsidRPr="00000000">
        <w:rPr>
          <w:rtl w:val="0"/>
        </w:rPr>
        <w:t xml:space="preserve">Sincerely,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rsid w:val="001E725F"/>
  </w:style>
  <w:style w:type="paragraph" w:styleId="Heading1">
    <w:name w:val="heading 1"/>
    <w:basedOn w:val="Normal"/>
    <w:next w:val="Normal"/>
    <w:link w:val="Heading1Char"/>
    <w:uiPriority w:val="9"/>
    <w:qFormat w:val="1"/>
    <w:rsid w:val="001E725F"/>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rsid w:val="001E725F"/>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rsid w:val="001E725F"/>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rsid w:val="001E725F"/>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rsid w:val="001E725F"/>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rsid w:val="001E725F"/>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rsid w:val="001E725F"/>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1E725F"/>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1E725F"/>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1E725F"/>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1E725F"/>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1E725F"/>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1E725F"/>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1E725F"/>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1E725F"/>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1E725F"/>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1E725F"/>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1E725F"/>
    <w:rPr>
      <w:rFonts w:cstheme="majorBidi" w:eastAsiaTheme="majorEastAsia"/>
      <w:color w:val="272727" w:themeColor="text1" w:themeTint="0000D8"/>
    </w:rPr>
  </w:style>
  <w:style w:type="paragraph" w:styleId="Title">
    <w:name w:val="Title"/>
    <w:basedOn w:val="Normal"/>
    <w:next w:val="Normal"/>
    <w:link w:val="TitleChar"/>
    <w:uiPriority w:val="10"/>
    <w:qFormat w:val="1"/>
    <w:rsid w:val="001E725F"/>
    <w:pPr>
      <w:spacing w:after="80" w:line="240" w:lineRule="auto"/>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sid w:val="001E725F"/>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rsid w:val="001E725F"/>
    <w:pPr>
      <w:numPr>
        <w:ilvl w:val="1"/>
      </w:numPr>
    </w:pPr>
    <w:rPr>
      <w:rFonts w:cstheme="majorBidi" w:eastAsiaTheme="majorEastAsia"/>
      <w:color w:val="595959" w:themeColor="text1" w:themeTint="0000A6"/>
      <w:spacing w:val="15"/>
      <w:sz w:val="28"/>
      <w:szCs w:val="28"/>
    </w:rPr>
  </w:style>
  <w:style w:type="character" w:styleId="SubtitleChar" w:customStyle="1">
    <w:name w:val="Subtitle Char"/>
    <w:basedOn w:val="DefaultParagraphFont"/>
    <w:link w:val="Subtitle"/>
    <w:uiPriority w:val="11"/>
    <w:rsid w:val="001E725F"/>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1E725F"/>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1E725F"/>
    <w:rPr>
      <w:i w:val="1"/>
      <w:iCs w:val="1"/>
      <w:color w:val="404040" w:themeColor="text1" w:themeTint="0000BF"/>
    </w:rPr>
  </w:style>
  <w:style w:type="paragraph" w:styleId="ListParagraph">
    <w:name w:val="List Paragraph"/>
    <w:basedOn w:val="Normal"/>
    <w:uiPriority w:val="34"/>
    <w:qFormat w:val="1"/>
    <w:rsid w:val="001E725F"/>
    <w:pPr>
      <w:ind w:left="720"/>
      <w:contextualSpacing w:val="1"/>
    </w:pPr>
  </w:style>
  <w:style w:type="character" w:styleId="IntenseEmphasis">
    <w:name w:val="Intense Emphasis"/>
    <w:basedOn w:val="DefaultParagraphFont"/>
    <w:uiPriority w:val="21"/>
    <w:qFormat w:val="1"/>
    <w:rsid w:val="001E725F"/>
    <w:rPr>
      <w:i w:val="1"/>
      <w:iCs w:val="1"/>
      <w:color w:val="0f4761" w:themeColor="accent1" w:themeShade="0000BF"/>
    </w:rPr>
  </w:style>
  <w:style w:type="paragraph" w:styleId="IntenseQuote">
    <w:name w:val="Intense Quote"/>
    <w:basedOn w:val="Normal"/>
    <w:next w:val="Normal"/>
    <w:link w:val="IntenseQuoteChar"/>
    <w:uiPriority w:val="30"/>
    <w:qFormat w:val="1"/>
    <w:rsid w:val="001E725F"/>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1E725F"/>
    <w:rPr>
      <w:i w:val="1"/>
      <w:iCs w:val="1"/>
      <w:color w:val="0f4761" w:themeColor="accent1" w:themeShade="0000BF"/>
    </w:rPr>
  </w:style>
  <w:style w:type="character" w:styleId="IntenseReference">
    <w:name w:val="Intense Reference"/>
    <w:basedOn w:val="DefaultParagraphFont"/>
    <w:uiPriority w:val="32"/>
    <w:qFormat w:val="1"/>
    <w:rsid w:val="001E725F"/>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p7nz4sjpqsXcZVDBJgT60H3grg==">CgMxLjA4AHIhMUxtejVVS3FHa0JwUlNDd2hkTEJ2WEhWaG1ianM1TkVY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2024-11-03T14:45:00Z</dcterms:created>
  <dc:creator>rafael montilla</dc:creator>
</cp:coreProperties>
</file>